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top w:w="15" w:type="dxa"/>
          <w:left w:w="15" w:type="dxa"/>
          <w:bottom w:w="15" w:type="dxa"/>
          <w:right w:w="15" w:type="dxa"/>
        </w:tblCellMar>
        <w:tblLook w:val="04A0"/>
      </w:tblPr>
      <w:tblGrid>
        <w:gridCol w:w="8252"/>
        <w:gridCol w:w="276"/>
        <w:gridCol w:w="306"/>
      </w:tblGrid>
      <w:tr w:rsidR="00490532" w:rsidRPr="00490532" w:rsidTr="00490532">
        <w:tc>
          <w:tcPr>
            <w:tcW w:w="5000" w:type="pct"/>
            <w:tcMar>
              <w:top w:w="558" w:type="dxa"/>
              <w:left w:w="513" w:type="dxa"/>
              <w:bottom w:w="15" w:type="dxa"/>
              <w:right w:w="15" w:type="dxa"/>
            </w:tcMar>
            <w:vAlign w:val="center"/>
            <w:hideMark/>
          </w:tcPr>
          <w:p w:rsidR="00490532" w:rsidRPr="00490532" w:rsidRDefault="00490532" w:rsidP="00490532">
            <w:pPr>
              <w:widowControl/>
              <w:spacing w:line="502" w:lineRule="atLeast"/>
              <w:jc w:val="center"/>
              <w:rPr>
                <w:rFonts w:ascii="宋体" w:eastAsia="宋体" w:hAnsi="宋体" w:cs="Tahoma"/>
                <w:b/>
                <w:bCs/>
                <w:color w:val="8C2A00"/>
                <w:kern w:val="0"/>
                <w:sz w:val="18"/>
                <w:szCs w:val="18"/>
              </w:rPr>
            </w:pPr>
            <w:r w:rsidRPr="00490532">
              <w:rPr>
                <w:rFonts w:ascii="宋体" w:eastAsia="宋体" w:hAnsi="宋体" w:cs="Tahoma" w:hint="eastAsia"/>
                <w:b/>
                <w:bCs/>
                <w:color w:val="8C2A00"/>
                <w:kern w:val="0"/>
                <w:sz w:val="18"/>
                <w:szCs w:val="18"/>
              </w:rPr>
              <w:t xml:space="preserve">关于做好2017-2018学年第一学期研究生毕业资格审查和学位授予工作的通知 (法大研字〔2017〕 32号) </w:t>
            </w:r>
          </w:p>
        </w:tc>
        <w:tc>
          <w:tcPr>
            <w:tcW w:w="5000" w:type="pct"/>
            <w:tcMar>
              <w:top w:w="558" w:type="dxa"/>
              <w:left w:w="15" w:type="dxa"/>
              <w:bottom w:w="15" w:type="dxa"/>
              <w:right w:w="15" w:type="dxa"/>
            </w:tcMar>
            <w:vAlign w:val="center"/>
            <w:hideMark/>
          </w:tcPr>
          <w:p w:rsidR="00490532" w:rsidRPr="00490532" w:rsidRDefault="00490532" w:rsidP="00490532">
            <w:pPr>
              <w:widowControl/>
              <w:spacing w:line="502" w:lineRule="atLeast"/>
              <w:jc w:val="right"/>
              <w:rPr>
                <w:rFonts w:ascii="仿宋" w:eastAsia="仿宋" w:hAnsi="仿宋" w:cs="Tahoma"/>
                <w:color w:val="000000"/>
                <w:kern w:val="0"/>
                <w:sz w:val="20"/>
                <w:szCs w:val="20"/>
              </w:rPr>
            </w:pPr>
            <w:r>
              <w:rPr>
                <w:rFonts w:ascii="仿宋" w:eastAsia="仿宋" w:hAnsi="仿宋" w:cs="Tahoma"/>
                <w:noProof/>
                <w:color w:val="3D3D3D"/>
                <w:kern w:val="0"/>
                <w:sz w:val="20"/>
                <w:szCs w:val="20"/>
              </w:rPr>
              <w:drawing>
                <wp:inline distT="0" distB="0" distL="0" distR="0">
                  <wp:extent cx="156210" cy="156210"/>
                  <wp:effectExtent l="0" t="0" r="0" b="0"/>
                  <wp:docPr id="1" name="图片 1" descr="打印">
                    <a:hlinkClick xmlns:a="http://schemas.openxmlformats.org/drawingml/2006/main" r:id="rId4" tooltip="打印"/>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打印">
                            <a:hlinkClick r:id="rId4" tooltip="打印"/>
                          </pic:cNvPr>
                          <pic:cNvPicPr>
                            <a:picLocks noChangeAspect="1" noChangeArrowheads="1"/>
                          </pic:cNvPicPr>
                        </pic:nvPicPr>
                        <pic:blipFill>
                          <a:blip r:embed="rId5" cstate="print"/>
                          <a:srcRect/>
                          <a:stretch>
                            <a:fillRect/>
                          </a:stretch>
                        </pic:blipFill>
                        <pic:spPr bwMode="auto">
                          <a:xfrm>
                            <a:off x="0" y="0"/>
                            <a:ext cx="156210" cy="156210"/>
                          </a:xfrm>
                          <a:prstGeom prst="rect">
                            <a:avLst/>
                          </a:prstGeom>
                          <a:noFill/>
                          <a:ln w="9525">
                            <a:noFill/>
                            <a:miter lim="800000"/>
                            <a:headEnd/>
                            <a:tailEnd/>
                          </a:ln>
                        </pic:spPr>
                      </pic:pic>
                    </a:graphicData>
                  </a:graphic>
                </wp:inline>
              </w:drawing>
            </w:r>
          </w:p>
        </w:tc>
        <w:tc>
          <w:tcPr>
            <w:tcW w:w="5000" w:type="pct"/>
            <w:tcMar>
              <w:top w:w="558" w:type="dxa"/>
              <w:left w:w="15" w:type="dxa"/>
              <w:bottom w:w="15" w:type="dxa"/>
              <w:right w:w="15" w:type="dxa"/>
            </w:tcMar>
            <w:vAlign w:val="center"/>
            <w:hideMark/>
          </w:tcPr>
          <w:p w:rsidR="00490532" w:rsidRPr="00490532" w:rsidRDefault="00490532" w:rsidP="00490532">
            <w:pPr>
              <w:widowControl/>
              <w:spacing w:line="502" w:lineRule="atLeast"/>
              <w:jc w:val="right"/>
              <w:rPr>
                <w:rFonts w:ascii="仿宋" w:eastAsia="仿宋" w:hAnsi="仿宋" w:cs="Tahoma"/>
                <w:color w:val="000000"/>
                <w:kern w:val="0"/>
                <w:sz w:val="20"/>
                <w:szCs w:val="20"/>
              </w:rPr>
            </w:pPr>
            <w:r>
              <w:rPr>
                <w:rFonts w:ascii="仿宋" w:eastAsia="仿宋" w:hAnsi="仿宋" w:cs="Tahoma"/>
                <w:noProof/>
                <w:color w:val="3D3D3D"/>
                <w:kern w:val="0"/>
                <w:sz w:val="20"/>
                <w:szCs w:val="20"/>
              </w:rPr>
              <w:drawing>
                <wp:inline distT="0" distB="0" distL="0" distR="0">
                  <wp:extent cx="156210" cy="156210"/>
                  <wp:effectExtent l="19050" t="0" r="0" b="0"/>
                  <wp:docPr id="2" name="图片 2" descr="E-mail">
                    <a:hlinkClick xmlns:a="http://schemas.openxmlformats.org/drawingml/2006/main" r:id="rId6" tooltip="E-ma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il">
                            <a:hlinkClick r:id="rId6" tooltip="E-mail"/>
                          </pic:cNvPr>
                          <pic:cNvPicPr>
                            <a:picLocks noChangeAspect="1" noChangeArrowheads="1"/>
                          </pic:cNvPicPr>
                        </pic:nvPicPr>
                        <pic:blipFill>
                          <a:blip r:embed="rId7" cstate="print"/>
                          <a:srcRect/>
                          <a:stretch>
                            <a:fillRect/>
                          </a:stretch>
                        </pic:blipFill>
                        <pic:spPr bwMode="auto">
                          <a:xfrm>
                            <a:off x="0" y="0"/>
                            <a:ext cx="156210" cy="156210"/>
                          </a:xfrm>
                          <a:prstGeom prst="rect">
                            <a:avLst/>
                          </a:prstGeom>
                          <a:noFill/>
                          <a:ln w="9525">
                            <a:noFill/>
                            <a:miter lim="800000"/>
                            <a:headEnd/>
                            <a:tailEnd/>
                          </a:ln>
                        </pic:spPr>
                      </pic:pic>
                    </a:graphicData>
                  </a:graphic>
                </wp:inline>
              </w:drawing>
            </w:r>
          </w:p>
        </w:tc>
      </w:tr>
    </w:tbl>
    <w:p w:rsidR="00490532" w:rsidRPr="00490532" w:rsidRDefault="00490532" w:rsidP="00490532">
      <w:pPr>
        <w:widowControl/>
        <w:jc w:val="left"/>
        <w:rPr>
          <w:rFonts w:ascii="Tahoma" w:eastAsia="宋体" w:hAnsi="Tahoma" w:cs="Tahoma"/>
          <w:vanish/>
          <w:kern w:val="0"/>
          <w:sz w:val="13"/>
          <w:szCs w:val="13"/>
        </w:rPr>
      </w:pPr>
    </w:p>
    <w:tbl>
      <w:tblPr>
        <w:tblW w:w="5000" w:type="pct"/>
        <w:tblCellMar>
          <w:top w:w="15" w:type="dxa"/>
          <w:left w:w="15" w:type="dxa"/>
          <w:bottom w:w="15" w:type="dxa"/>
          <w:right w:w="15" w:type="dxa"/>
        </w:tblCellMar>
        <w:tblLook w:val="04A0"/>
      </w:tblPr>
      <w:tblGrid>
        <w:gridCol w:w="8336"/>
      </w:tblGrid>
      <w:tr w:rsidR="00490532" w:rsidRPr="00490532" w:rsidTr="00490532">
        <w:tc>
          <w:tcPr>
            <w:tcW w:w="0" w:type="auto"/>
            <w:tcMar>
              <w:top w:w="15" w:type="dxa"/>
              <w:left w:w="15" w:type="dxa"/>
              <w:bottom w:w="558" w:type="dxa"/>
              <w:right w:w="15" w:type="dxa"/>
            </w:tcMar>
            <w:hideMark/>
          </w:tcPr>
          <w:p w:rsidR="00490532" w:rsidRPr="00490532" w:rsidRDefault="00490532" w:rsidP="00490532">
            <w:pPr>
              <w:widowControl/>
              <w:spacing w:line="502" w:lineRule="atLeast"/>
              <w:jc w:val="right"/>
              <w:rPr>
                <w:rFonts w:ascii="仿宋" w:eastAsia="仿宋" w:hAnsi="仿宋" w:cs="Tahoma"/>
                <w:color w:val="000000"/>
                <w:kern w:val="0"/>
                <w:sz w:val="13"/>
                <w:szCs w:val="13"/>
              </w:rPr>
            </w:pPr>
            <w:r w:rsidRPr="00490532">
              <w:rPr>
                <w:rFonts w:ascii="仿宋" w:eastAsia="仿宋" w:hAnsi="仿宋" w:cs="Tahoma" w:hint="eastAsia"/>
                <w:color w:val="000000"/>
                <w:kern w:val="0"/>
                <w:sz w:val="13"/>
                <w:szCs w:val="13"/>
              </w:rPr>
              <w:t xml:space="preserve">2017-07-13 11:16 </w:t>
            </w:r>
          </w:p>
        </w:tc>
      </w:tr>
      <w:tr w:rsidR="00490532" w:rsidRPr="00490532" w:rsidTr="00490532">
        <w:tc>
          <w:tcPr>
            <w:tcW w:w="0" w:type="auto"/>
            <w:vAlign w:val="center"/>
            <w:hideMark/>
          </w:tcPr>
          <w:p w:rsidR="00490532" w:rsidRPr="00490532" w:rsidRDefault="00490532" w:rsidP="00490532">
            <w:pPr>
              <w:widowControl/>
              <w:spacing w:line="502" w:lineRule="atLeast"/>
              <w:jc w:val="left"/>
              <w:rPr>
                <w:rFonts w:ascii="仿宋" w:eastAsia="仿宋" w:hAnsi="仿宋" w:cs="Tahoma"/>
                <w:color w:val="000000"/>
                <w:kern w:val="0"/>
                <w:sz w:val="20"/>
                <w:szCs w:val="20"/>
              </w:rPr>
            </w:pPr>
          </w:p>
        </w:tc>
      </w:tr>
    </w:tbl>
    <w:p w:rsidR="00490532" w:rsidRPr="00490532" w:rsidRDefault="00490532" w:rsidP="00490532">
      <w:pPr>
        <w:widowControl/>
        <w:jc w:val="left"/>
        <w:rPr>
          <w:rFonts w:ascii="Tahoma" w:eastAsia="宋体" w:hAnsi="Tahoma" w:cs="Tahoma"/>
          <w:vanish/>
          <w:kern w:val="0"/>
          <w:sz w:val="13"/>
          <w:szCs w:val="13"/>
        </w:rPr>
      </w:pPr>
    </w:p>
    <w:tbl>
      <w:tblPr>
        <w:tblW w:w="5000" w:type="pct"/>
        <w:tblCellMar>
          <w:top w:w="15" w:type="dxa"/>
          <w:left w:w="15" w:type="dxa"/>
          <w:bottom w:w="15" w:type="dxa"/>
          <w:right w:w="15" w:type="dxa"/>
        </w:tblCellMar>
        <w:tblLook w:val="04A0"/>
      </w:tblPr>
      <w:tblGrid>
        <w:gridCol w:w="8336"/>
      </w:tblGrid>
      <w:tr w:rsidR="00490532" w:rsidRPr="00490532" w:rsidTr="00490532">
        <w:tc>
          <w:tcPr>
            <w:tcW w:w="0" w:type="auto"/>
            <w:hideMark/>
          </w:tcPr>
          <w:p w:rsidR="00490532" w:rsidRPr="00490532" w:rsidRDefault="00490532" w:rsidP="00490532">
            <w:pPr>
              <w:widowControl/>
              <w:spacing w:before="100" w:beforeAutospacing="1" w:after="100" w:afterAutospacing="1" w:line="520" w:lineRule="atLeast"/>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各研究生二级培养单位、各研究生：</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为了保证研究生毕业资格审查与学位授予工作的正常进行，现对2017-2018学年第一学期研究生毕业资格审查和学位授予有关事项通知如下：</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一、自本学期开始，我校研究生毕业资格审查和学位授予相关工作同时在“中国政法大学研究生综合管理系统”（以下简称“研究生管理系统”）进行。各研究生二级培养单位（以下简称各单位）、所有研究生均须在规定时间内登录系统，按系统要求和说明在相应环节进行操作。</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 xml:space="preserve">网址：http://gms.cupl.edu.cn/ </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登录用户名和密码（登录后务必立即修改密码）：</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1．研究生导师用户名和初始密码均为工号（CU为大写，身份选择“教师”）；</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2. 在校研究生登录用户名和初始密码均为学号（身份选择</w:t>
            </w:r>
            <w:r w:rsidRPr="00490532">
              <w:rPr>
                <w:rFonts w:ascii="仿宋" w:eastAsia="仿宋" w:hAnsi="仿宋" w:cs="Tahoma" w:hint="eastAsia"/>
                <w:color w:val="000000"/>
                <w:kern w:val="0"/>
                <w:sz w:val="30"/>
                <w:szCs w:val="30"/>
              </w:rPr>
              <w:lastRenderedPageBreak/>
              <w:t>“研究生”）；</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3. 同等学力申请硕士学位人员登录用户名和初始密码均为申请编号（身份选择“研究生”）。</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30"/>
                <w:szCs w:val="30"/>
              </w:rPr>
              <w:t>   </w:t>
            </w:r>
            <w:r w:rsidRPr="00490532">
              <w:rPr>
                <w:rFonts w:ascii="仿宋" w:eastAsia="仿宋" w:hAnsi="仿宋" w:cs="仿宋" w:hint="eastAsia"/>
                <w:color w:val="000000"/>
                <w:kern w:val="0"/>
                <w:sz w:val="30"/>
                <w:szCs w:val="30"/>
              </w:rPr>
              <w:t xml:space="preserve"> </w:t>
            </w:r>
            <w:r w:rsidRPr="00490532">
              <w:rPr>
                <w:rFonts w:ascii="仿宋" w:eastAsia="仿宋" w:hAnsi="仿宋" w:cs="Tahoma" w:hint="eastAsia"/>
                <w:color w:val="000000"/>
                <w:kern w:val="0"/>
                <w:sz w:val="30"/>
                <w:szCs w:val="30"/>
              </w:rPr>
              <w:t>研究生管理系统（毕业审核与学位授予部分）开放时间：2017年10月10日上午8:00。</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t> </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如遇研究生管理系统用户名和密码无法登录问题，研究生导师和在校研究生请与杜老师联系（010-58908534），同等学力申请硕士学位人员请与郑老师联系（010-58908427）。</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t> </w:t>
            </w:r>
          </w:p>
          <w:p w:rsidR="00490532" w:rsidRPr="00490532" w:rsidRDefault="00490532" w:rsidP="00490532">
            <w:pPr>
              <w:widowControl/>
              <w:spacing w:before="100" w:beforeAutospacing="1" w:after="100" w:afterAutospacing="1" w:line="520" w:lineRule="atLeast"/>
              <w:ind w:firstLine="64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二、毕业审查</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t> </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各单位应按照学校有关规定，做好本单位2017-2018学年第一学期研究生毕业资格审查工作，具体要求如下：</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t> </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（一）根据学校规定，硕士研究生按照培养方案的规定完成课程学习和其他培养环节，修满规定的学分，成绩合格，完成毕业（学位）论文写作并通过毕业（学位）论文学术规范审查，经</w:t>
            </w:r>
            <w:r w:rsidRPr="00490532">
              <w:rPr>
                <w:rFonts w:ascii="仿宋" w:eastAsia="仿宋" w:hAnsi="仿宋" w:cs="Tahoma" w:hint="eastAsia"/>
                <w:color w:val="000000"/>
                <w:kern w:val="0"/>
                <w:sz w:val="30"/>
                <w:szCs w:val="30"/>
              </w:rPr>
              <w:lastRenderedPageBreak/>
              <w:t xml:space="preserve">导师评定符合要求，品德及其他方面鉴定合格，准予毕业并发给毕业证书。 </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t> </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硕士研究生的毕业资格审查由各单位负责，但需向研究生学籍管理办公室报送在研究生管理系统上下载的硕士研究生毕业资格审查审批表及硕士研究生申请毕业名单。</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t> </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（二）根据学校规定，博士研究生按照培养方案的规定及培养计划完成课程学习和其他培养环节，修满规定的学分，成绩合格，科学研究成果符合毕业规定，通过论文答辩，准予毕业并发给毕业证书。</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t> </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博士研究生的毕业资格审查由各单位负责，但需向研究生学籍管理办公室报送在研究生管理系统上下载的博士研究生毕业资格审查审批表及博士研究生申请毕业名单。</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t> </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（三）申请提前毕业的研究生须于10月30日前向所在学院提出书面申请。研究生学籍管理办公室11月10日前办理提前毕业研究生审批手续。</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lastRenderedPageBreak/>
              <w:t> </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（四）各单位研究生毕业资格审查时间为10月31日前。</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t> </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（五）只申请毕业，不申请学位的硕士研究生，用于学术规范审查的毕业论文于10月31日前提交给研究生学籍管理办公室。逾期不再受理。</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t> </w:t>
            </w:r>
          </w:p>
          <w:p w:rsidR="00490532" w:rsidRPr="00490532" w:rsidRDefault="00490532" w:rsidP="00490532">
            <w:pPr>
              <w:widowControl/>
              <w:spacing w:before="100" w:beforeAutospacing="1" w:after="100" w:afterAutospacing="1" w:line="520" w:lineRule="atLeast"/>
              <w:ind w:firstLine="64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三、博士研究生发表学术成果要求与标准</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t> </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（一）2011级及以前入学博士研究生在申请毕业与学位论文答辩前需公开发表1万字以上的专业论文或著作。</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t> </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二）自2012级起博士研究生在向各单位递交学位申请材料前，应以中国政法大学博士研究生名义在核心期刊上独立或者以第一作者身份发表2篇学术论文，且每篇不少于5000字。核心期刊的范围根据《中国政法大学期刊分类办法》（法大发〔2015〕141号）的规定认定。</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t> </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lastRenderedPageBreak/>
              <w:t>1.2016年1月1日前在SSCI（社会科学论文索引）、SCI（科学引文索引）、EI（工程索引）、A&amp;HCI（艺术与人文社会科学论文索引）等检索系统收录期刊之外的境外公开出版的学术刊物发表的论文，经各单位学术委员会组织相关专家评定达到相应水平的，可以认定为核心期刊论文。2016年1月1日之后发表此类论文累计两篇或两篇以上的，经各单位学术委员会组织相关专家评定达到相应水平的，从2017年夏季毕业开始仅认定一篇为核心期刊论文。</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t> </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博士研究生在进行毕业资格审查和学位申请审核时，所提交的论文是2016年1月1日之前发表在前款刊物上的，按照该生在前款期刊实际发表的论文篇数和《中国政法大学期刊分类办法》（法大发〔2008〕70号)进行核心期刊的认定。</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t> </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2.以中国政法大学博士研究生名义（即以中国政法大学为第一作者单位）独立或以第一作者身份在《中华法系》《诉讼法学研究》《法大研究生》上发表的学术论文，该论文在进行毕业资格审查和学位申请审核时视为在核心期刊发表论文。博士研究生在此三种出版物累计发表2篇或2篇以上论文的，在进行毕业资格审查和学位申请审核时，仅认定1篇为核心期刊论文。</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lastRenderedPageBreak/>
              <w:t> </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3.博士研究生用来申请毕业和学位的科研成果必须是在2017年10月31日前已经公开发表的论文（原件），用稿通知、用稿证明和专著均不符合要求。</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t> </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各单位应按照上述规定，对博士生毕业和学位申请资格严格审核。</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t> </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博士研究生须提前将将用于申请学位的2篇学术论文扫描件（</w:t>
            </w:r>
            <w:proofErr w:type="spellStart"/>
            <w:r w:rsidRPr="00490532">
              <w:rPr>
                <w:rFonts w:ascii="仿宋" w:eastAsia="仿宋" w:hAnsi="仿宋" w:cs="Tahoma" w:hint="eastAsia"/>
                <w:color w:val="000000"/>
                <w:kern w:val="0"/>
                <w:sz w:val="30"/>
                <w:szCs w:val="30"/>
              </w:rPr>
              <w:t>pdf</w:t>
            </w:r>
            <w:proofErr w:type="spellEnd"/>
            <w:r w:rsidRPr="00490532">
              <w:rPr>
                <w:rFonts w:ascii="仿宋" w:eastAsia="仿宋" w:hAnsi="仿宋" w:cs="Tahoma" w:hint="eastAsia"/>
                <w:color w:val="000000"/>
                <w:kern w:val="0"/>
                <w:sz w:val="30"/>
                <w:szCs w:val="30"/>
              </w:rPr>
              <w:t>或jpeg格式）（包括：期刊封面、目录页、及本人文章页，并在目录页中标出本人文章题目）上传至研究生管理系统，以便审核。</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t> </w:t>
            </w:r>
          </w:p>
          <w:p w:rsidR="00490532" w:rsidRPr="00490532" w:rsidRDefault="00490532" w:rsidP="00490532">
            <w:pPr>
              <w:widowControl/>
              <w:spacing w:before="100" w:beforeAutospacing="1" w:after="100" w:afterAutospacing="1" w:line="520" w:lineRule="atLeast"/>
              <w:ind w:firstLine="64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四、学位论文答辩总体要求</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t> </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各单位应切实落实研究生培养主体责任，强化导师职责，以提高研究生培养质量为核心，牢固树立重程序、重规则的意识，严格按照学校有关规定内容和程序，做好本单位研究生和同等学</w:t>
            </w:r>
            <w:r w:rsidRPr="00490532">
              <w:rPr>
                <w:rFonts w:ascii="仿宋" w:eastAsia="仿宋" w:hAnsi="仿宋" w:cs="Tahoma" w:hint="eastAsia"/>
                <w:color w:val="000000"/>
                <w:kern w:val="0"/>
                <w:sz w:val="30"/>
                <w:szCs w:val="30"/>
              </w:rPr>
              <w:lastRenderedPageBreak/>
              <w:t>力申请硕士人员的学位论文指导和答辩工作。具体要求如下：</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t> </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（一）应严格按照《中国政法大学学位授予办法》（法大发〔2016〕44号）和《中国政法大学同等学力人员硕士、博士学位授予办法》之相关规定，切实做好学位申请人答辩资格审查。</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t> </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各单位提交研究生学位申请材料时，内容应准确、完整，尤其要确保《学位申请书》中有关栏目内容完整、准确。</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t> </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注：自2016-2017学年度第二学期（2017年夏季）学位申请开始，所有研究生学位论文均开始执行《中国政法大学学位授予办法》（法大发〔2016〕44号）规定的新的篇幅标准。</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t> </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（二）学位论文答辩工作启动及截止时间由各单位根据学校整体工作安排及各单位情况自行确定。为保证学位论文答辩工作顺利进行，请各单位妥善安排各环节相关工作时间并及时公布。</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t> </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（三）在职攻读专业硕士学位生不得提前申请学位论文答</w:t>
            </w:r>
            <w:r w:rsidRPr="00490532">
              <w:rPr>
                <w:rFonts w:ascii="仿宋" w:eastAsia="仿宋" w:hAnsi="仿宋" w:cs="Tahoma" w:hint="eastAsia"/>
                <w:color w:val="000000"/>
                <w:kern w:val="0"/>
                <w:sz w:val="30"/>
                <w:szCs w:val="30"/>
              </w:rPr>
              <w:lastRenderedPageBreak/>
              <w:t>辩，且应在课程考试通过后二年内提出学位申请并完成论文答辩；同等学力人员应在《准予学位论文答辩通知》规定的时间内提出学位申请并完成论文答辩。逾期一律不予接受申请。</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t> </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（四）学位论文学术规范审查工作按照《中国政法大学学位论文学术规范审查办法》执行，各单位应切实做好宣传工作，加强对所属专业学生及其他在本院参加论文答辩人员的教育，提醒其遵守学术规范。</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t> </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经协商"维普论文检测系统"为我校学生个人自检开通了安全检测通道，以杜绝某些资源来源不正规、检测技术落后、且冒名模仿检测品牌的网站，保障毕业生论文的安全。学生通过此通道可免费检测一次，检测结果仅作为修改论文的参考。请各学院在9月15日前向研究生院质量监督办公室提交学位申请人的姓名和学号等相关信息。</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t> </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学生第一次注册并绑定姓名和学号即激活使用，激活账号期限为公告发布之日起一个星期内。学生免费检测一次的使用期限为激活后一个月内。（温馨提示：请学生尽快登陆安全检测通道注册领取检测服务，如出现冒领情况，不予补领。）具体安全检</w:t>
            </w:r>
            <w:r w:rsidRPr="00490532">
              <w:rPr>
                <w:rFonts w:ascii="仿宋" w:eastAsia="仿宋" w:hAnsi="仿宋" w:cs="Tahoma" w:hint="eastAsia"/>
                <w:color w:val="000000"/>
                <w:kern w:val="0"/>
                <w:sz w:val="30"/>
                <w:szCs w:val="30"/>
              </w:rPr>
              <w:lastRenderedPageBreak/>
              <w:t>测通道，以及《维普自助检测服务使用指南》，将择期另行通知。</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请各单位提醒学位论文指导教师对学位论文做好形式、字数审查，确保提交申请学位的论文，在形式上符合《中国政法大学学位授予办法》（法大发〔2016〕44号）规定的标准。各单位对本单位学位申请者的论文进行审核确认后，于10月30日前通过系统提交。</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t> </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二次答辩的学位申请人，一律须重新提交论文，参加学术规范审查。凡未参加论文学术规范审查的人员，一律不得安排答辩。</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t> </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研究生院质量监督办将于论文评阅及答辩前将论文学术规范审查结果反馈给各单位，由各单位按照学校有关规定，分别及时做出认定和相应处理，并在一周内将结果与《学位评定分委员会学位论文学术规范审查认定表》报送质量监督办。</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t> </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（五）根据教育部学位论文抽检要求，研究生院将按一定比例随机抽取学位论文进行匿名评审，未被抽取的，各有关院继续依照匿名评审制度进行评审，具体做法为：</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t> </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lastRenderedPageBreak/>
              <w:t>1.研究生院通过研究生管理系统，随机抽取学位论文，并向各单位反馈被抽取的学位申请人员名单，各单位根据名单提交相应学位论文（博士学位论文1式3本，硕士学位论文1式1本，均作匿名处理），研究生院于各单位提交论文后30日内将评阅意见反馈给相关各单位。</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t> </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2．博士学位论文全部实行专家匿名（即双盲）评审，评审工作（如评审专家确定、学位论文及评阅书的取送等）由各有关院负责。</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t> </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3.硕士学位论文部分实行专家匿名评审。各单位按不少于1/4的比例，从申请论文答辩人（不含同等学力）中随机抽取送审名单。同等学力人员全部实行匿名评审。</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t> </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未参加随机抽取匿名评审人员一律不得安排论文答辩。</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t> </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（六）各单位应要求学生按《中国政法大学学位授予办法》（法大发〔2016〕44号）之附件1“中国政法大学学位论文形式要求”的规定印制论文。凡不按规定打印、装订学位论文的，各</w:t>
            </w:r>
            <w:r w:rsidRPr="00490532">
              <w:rPr>
                <w:rFonts w:ascii="仿宋" w:eastAsia="仿宋" w:hAnsi="仿宋" w:cs="Tahoma" w:hint="eastAsia"/>
                <w:color w:val="000000"/>
                <w:kern w:val="0"/>
                <w:sz w:val="30"/>
                <w:szCs w:val="30"/>
              </w:rPr>
              <w:lastRenderedPageBreak/>
              <w:t>单位应不予接受。</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t> </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七）各单位按规定时间及申请人数领取答辩及归档等全部材料，其中《学位论文答辩委员会组成审核表》《博/硕学位论文评阅书》《博/硕学位论文答辩决议》等相关表格在研究生管理系统下载。同等学力申请学位人员的论文封皮由其本人自行购买。</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t> </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八）学位论文答辩后，申请人必须针对答辩过程中专家所提出的原论文存在的问题与建议，对学位论文作出认真修改，填写《中国政法大学研究生学位论文答辩后修改情况表》（研究生管理系统下载），经导师和各单位审查通过后，方可提交学位论文。《中国政法大学研究生学位论文答辩后修改情况表》由各单位存入学位授予档案。</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t> </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（九）所有学位申请人均须在11月30日前提交照片，否则将影响学位授予正常进行。</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t> </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应届毕业研究生照片由研究生学籍管理办公室组织统一采</w:t>
            </w:r>
            <w:r w:rsidRPr="00490532">
              <w:rPr>
                <w:rFonts w:ascii="仿宋" w:eastAsia="仿宋" w:hAnsi="仿宋" w:cs="Tahoma" w:hint="eastAsia"/>
                <w:color w:val="000000"/>
                <w:kern w:val="0"/>
                <w:sz w:val="30"/>
                <w:szCs w:val="30"/>
              </w:rPr>
              <w:lastRenderedPageBreak/>
              <w:t>集，参加统一照片采集后学位申请人的电子版照片由学位办公室上传至研究生管理系统。</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t> </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未参与照片统一采集的应届毕业研究生、提前和延期毕业的学历生、专业学位研究生等应到指定地点采集，采集后照片自行交到学位办公室，由学位办公室统一上传至研究生管理系统。</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t> </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同等学力申请硕士学位人员在提出申请时，接受论文答辩申请单位须要求其提交电子文本照片以及2寸照片2张，否则不得安排学位论文答辩。</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t> </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照片格式要求：</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hyperlink r:id="rId8" w:history="1">
              <w:r w:rsidRPr="00490532">
                <w:rPr>
                  <w:rFonts w:ascii="仿宋" w:eastAsia="仿宋" w:hAnsi="仿宋" w:cs="Tahoma" w:hint="eastAsia"/>
                  <w:color w:val="3D3D3D"/>
                  <w:kern w:val="0"/>
                  <w:sz w:val="30"/>
                </w:rPr>
                <w:t>http://yjsyold.cupl.edu.cn/degree-management/c72/1452/</w:t>
              </w:r>
            </w:hyperlink>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t> </w:t>
            </w:r>
          </w:p>
          <w:p w:rsidR="00490532" w:rsidRPr="00490532" w:rsidRDefault="00490532" w:rsidP="00490532">
            <w:pPr>
              <w:widowControl/>
              <w:spacing w:before="100" w:beforeAutospacing="1" w:after="100" w:afterAutospacing="1" w:line="520" w:lineRule="atLeast"/>
              <w:ind w:firstLine="64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建议采集地点：</w:t>
            </w:r>
          </w:p>
          <w:p w:rsidR="00490532" w:rsidRPr="00490532" w:rsidRDefault="00490532" w:rsidP="00490532">
            <w:pPr>
              <w:widowControl/>
              <w:spacing w:before="100" w:beforeAutospacing="1" w:after="100" w:afterAutospacing="1" w:line="520" w:lineRule="atLeast"/>
              <w:ind w:firstLine="640"/>
              <w:jc w:val="left"/>
              <w:rPr>
                <w:rFonts w:ascii="仿宋" w:eastAsia="仿宋" w:hAnsi="仿宋" w:cs="Tahoma" w:hint="eastAsia"/>
                <w:color w:val="000000"/>
                <w:kern w:val="0"/>
                <w:sz w:val="20"/>
                <w:szCs w:val="20"/>
              </w:rPr>
            </w:pPr>
            <w:hyperlink r:id="rId9" w:history="1">
              <w:r w:rsidRPr="00490532">
                <w:rPr>
                  <w:rFonts w:ascii="仿宋" w:eastAsia="仿宋" w:hAnsi="仿宋" w:cs="Tahoma" w:hint="eastAsia"/>
                  <w:b/>
                  <w:bCs/>
                  <w:color w:val="3D3D3D"/>
                  <w:kern w:val="0"/>
                  <w:sz w:val="30"/>
                </w:rPr>
                <w:t>http://yjsyold.cupl.edu.cn/graduate-education/c41/2613/</w:t>
              </w:r>
            </w:hyperlink>
          </w:p>
          <w:p w:rsidR="00490532" w:rsidRPr="00490532" w:rsidRDefault="00490532" w:rsidP="00490532">
            <w:pPr>
              <w:widowControl/>
              <w:spacing w:before="100" w:beforeAutospacing="1" w:after="100" w:afterAutospacing="1" w:line="520" w:lineRule="atLeast"/>
              <w:ind w:firstLine="640"/>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lastRenderedPageBreak/>
              <w:t> </w:t>
            </w:r>
          </w:p>
          <w:p w:rsidR="00490532" w:rsidRPr="00490532" w:rsidRDefault="00490532" w:rsidP="00490532">
            <w:pPr>
              <w:widowControl/>
              <w:spacing w:before="100" w:beforeAutospacing="1" w:after="100" w:afterAutospacing="1" w:line="520" w:lineRule="atLeast"/>
              <w:ind w:firstLine="64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五、优秀学位论文评选</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t> </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各单位应严格依照《中国政法大学优秀学位论文评选办法》（修订稿），结合论文答辩，做好校优秀学位论文评选工作。评选材料报送时间为每学年的第二学期，其中优秀硕士学位论文名额由研究生院核定，另行下达。</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t> </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向学位办公室报送的优秀学位论文材料包括：《优秀学位论文推荐名单》（含电子文本）、《优秀博士学位论文推荐表》（含电子文本）、评阅书及答辩决议复印件、论文一式四份（含电子文本，纸质版须进行匿名处理），各单位应注意留存本学期优秀学位论文相关材料，用于第二学期评选工作需要。</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t> </w:t>
            </w:r>
          </w:p>
          <w:p w:rsidR="00490532" w:rsidRPr="00490532" w:rsidRDefault="00490532" w:rsidP="00490532">
            <w:pPr>
              <w:widowControl/>
              <w:spacing w:before="100" w:beforeAutospacing="1" w:after="100" w:afterAutospacing="1" w:line="520" w:lineRule="atLeast"/>
              <w:ind w:firstLine="64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六、工作进度安排与报送材料</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t> </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各单位可根据学校整体工作时间安排，结合本单位实际情况制定相关工作时间表并予以公布实施。</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lastRenderedPageBreak/>
              <w:t> </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（一）9月28日14:30-16:00，各单位在新1号公寓楼地下一层北侧领取学位申请书、论文封皮及答辩、归档材料。</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t> </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（二）10月31日前，各单位在研究生管理系统完成学位申请人答辩资格审查、毕业资格审查。各单位须提前通知本单位研究生在研究生管理系统进行毕业和学位申请，并督促其按时提交相关材料。</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t> </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（三）10月31日前，各单位在研究生管理系统导出《院学位申请报告》，签章后连同相应的学位申请书向学位管理办公室报送。</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t> </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未提交或逾期提交上述规定材料的，视为未申请。</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t> </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学位申请书经学位管理办公室审核盖章后，由各单位留存归档。</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t> </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lastRenderedPageBreak/>
              <w:t>（四）10月31日前，各单位向质量监督办报送《院学位申请报告》（含电子版）以及相应的学位纸质论文用于学术规范审查（要求匿名）。</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t> </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（五）11月10日前，各单位向研究生学籍管理办公室报送提前毕业研究生审批材料：中国政法大学硕士研究生申请提前毕业资格审查审批表，并附成绩单、毕业论文初稿、导师对毕业论文初稿的质量鉴定等。</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t> </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（六）各单位应在答辩一周前向学位管理办公室提交本院研究生答辩计划。教学督导组、研究生院将对研究生论文答辩工作进行督导和检查。</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t> </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七）12月5日前，各单位须召开学位评定分委员会，并向学位办公室报送学位授予材料：《学院学位评定分委员会表决结果统计表》、《中国政法大学拟授予博士学位人员简况表》、《中国政法大学学位申请及答辩情况汇总表》、《学位分委员会决议》（以上材料均含电子版。《分委员会决议》无格式要求，内容包含本院会议时间、参加学位评定委员会会议人员名单、表</w:t>
            </w:r>
            <w:r w:rsidRPr="00490532">
              <w:rPr>
                <w:rFonts w:ascii="仿宋" w:eastAsia="仿宋" w:hAnsi="仿宋" w:cs="Tahoma" w:hint="eastAsia"/>
                <w:color w:val="000000"/>
                <w:kern w:val="0"/>
                <w:sz w:val="30"/>
                <w:szCs w:val="30"/>
              </w:rPr>
              <w:lastRenderedPageBreak/>
              <w:t>决情况等）。</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t> </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前述材料中除《分委员会决议》外，均由研究生管理系统自动生成，导出后签章。</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t> </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学位评定分委员会提交的材料，须经学位分委员会主席签字。学位评定分委员会会议须有会议记录，并形成会议纪要，以备检查。</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t> </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根据校历，校学位评定委员会会议拟定于2017年12月19日召开。</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t> </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（八）12月5日前，各单位向研究生学籍管理办公室报送:在研究生管理系统下载并已签字完备的《中国政法大学博士/硕士研究生毕业资格审查审批表》《中国政法大学博士/硕士研究生申请毕业名单》。</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t> </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（九）证书照片粘贴及领取时间、地点另行通知。</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lastRenderedPageBreak/>
              <w:t> </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（十）论文提交和学位信息确认</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t> </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提交的论文须是答辩通过后修改确定的论文。</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t> </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1．各研究生于2017年12月5日前向在研究生管理系统提交修改后确定的论文电子版，并确认学位信息。各单位于2017年12月5日之前在研究生管理系统完成相应审核。</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t> </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2．各单位向学位管理办公室提交论文。</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t> </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12月29日9:30-11:00，向学位管理办公室报送全部获得学位者的学位论文1份；经学位获得者授权的论文1份（《学位论文出版授权书》装订在封面之后，扉页之前）。2份论文分别打捆提交。地址：新1号公寓楼地下一层北侧。</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t> </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3．各研究生向图书馆提交论文。</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lastRenderedPageBreak/>
              <w:t> </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各单位应要求学位申请人向校图书馆送交通过论文答辩的学位论文。提交的论文载体包括纸质版和电子版两种形式。纸质论文博士提交4本，全日制硕士研究生提交3本，非全日制硕士研究生提交2本。具体提交办法详见《中国政法大学博硕士学位论文提交的办法》（http://library.cupl.edu.cn/fw/lwtj.htm）。凡不按时送交者，相关责任自负。</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t> </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同等学力申请硕士学位人员可自行选择是否提交。</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t> </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（十一）答辩材料归档</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t> </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请各单位按照研究生院于2015年1月25日下发的《关于进一步规范学位档案管理工作的通知》（法大研字[2015]8号）的要求，做好学位档案管理工作。</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t> </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各类别论文答辩材料归档目录见</w:t>
            </w:r>
            <w:hyperlink r:id="rId10" w:history="1">
              <w:r w:rsidRPr="00490532">
                <w:rPr>
                  <w:rFonts w:ascii="仿宋" w:eastAsia="仿宋" w:hAnsi="仿宋" w:cs="Tahoma" w:hint="eastAsia"/>
                  <w:color w:val="3D3D3D"/>
                  <w:kern w:val="0"/>
                  <w:sz w:val="30"/>
                </w:rPr>
                <w:t>http://yjsyold.cupl.edu.cn/degree-management/c72/1194/</w:t>
              </w:r>
            </w:hyperlink>
            <w:r w:rsidRPr="00490532">
              <w:rPr>
                <w:rFonts w:ascii="仿宋" w:eastAsia="仿宋" w:hAnsi="仿宋" w:cs="Tahoma" w:hint="eastAsia"/>
                <w:color w:val="000000"/>
                <w:kern w:val="0"/>
                <w:sz w:val="20"/>
                <w:szCs w:val="20"/>
              </w:rPr>
              <w:t>。</w:t>
            </w:r>
            <w:r w:rsidRPr="00490532">
              <w:rPr>
                <w:rFonts w:ascii="宋体" w:eastAsia="宋体" w:hAnsi="宋体" w:cs="宋体" w:hint="eastAsia"/>
                <w:color w:val="000000"/>
                <w:kern w:val="0"/>
                <w:sz w:val="20"/>
                <w:szCs w:val="20"/>
              </w:rPr>
              <w:lastRenderedPageBreak/>
              <w:t> </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各单位应按照规定要求进行论文答辩材料归档，其中，尤其要注意日期等程序方面的规定；承担同等学力人员答辩工作的各单位，在将授予同等学力人员档案送交校档案馆归档前，须先经学位管理办公室复核。</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t> </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本通知所涉各类表格均可在附件及研究生管理系统里下载。</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t> </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仿宋" w:eastAsia="仿宋" w:hAnsi="仿宋" w:cs="Tahoma" w:hint="eastAsia"/>
                <w:color w:val="000000"/>
                <w:kern w:val="0"/>
                <w:sz w:val="30"/>
                <w:szCs w:val="30"/>
              </w:rPr>
              <w:t>特此通知。</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t> </w:t>
            </w:r>
          </w:p>
          <w:p w:rsidR="00490532" w:rsidRPr="00490532" w:rsidRDefault="00490532" w:rsidP="00490532">
            <w:pPr>
              <w:widowControl/>
              <w:spacing w:before="100" w:beforeAutospacing="1" w:after="100" w:afterAutospacing="1" w:line="520" w:lineRule="atLeast"/>
              <w:ind w:firstLine="600"/>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30"/>
                <w:szCs w:val="30"/>
              </w:rPr>
              <w:t>                                                     </w:t>
            </w:r>
            <w:r w:rsidRPr="00490532">
              <w:rPr>
                <w:rFonts w:ascii="仿宋" w:eastAsia="仿宋" w:hAnsi="仿宋" w:cs="Tahoma" w:hint="eastAsia"/>
                <w:color w:val="000000"/>
                <w:kern w:val="0"/>
                <w:sz w:val="30"/>
                <w:szCs w:val="30"/>
              </w:rPr>
              <w:t>研究生院</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t> </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30"/>
                <w:szCs w:val="30"/>
              </w:rPr>
              <w:t>                                                       </w:t>
            </w:r>
            <w:r w:rsidRPr="00490532">
              <w:rPr>
                <w:rFonts w:ascii="仿宋" w:eastAsia="仿宋" w:hAnsi="仿宋" w:cs="仿宋" w:hint="eastAsia"/>
                <w:color w:val="000000"/>
                <w:kern w:val="0"/>
                <w:sz w:val="30"/>
                <w:szCs w:val="30"/>
              </w:rPr>
              <w:t>2017</w:t>
            </w:r>
            <w:r w:rsidRPr="00490532">
              <w:rPr>
                <w:rFonts w:ascii="仿宋" w:eastAsia="仿宋" w:hAnsi="仿宋" w:cs="Tahoma" w:hint="eastAsia"/>
                <w:color w:val="000000"/>
                <w:kern w:val="0"/>
                <w:sz w:val="30"/>
                <w:szCs w:val="30"/>
              </w:rPr>
              <w:t>年7月13日</w:t>
            </w:r>
          </w:p>
          <w:p w:rsidR="00490532" w:rsidRPr="00490532" w:rsidRDefault="00490532" w:rsidP="00490532">
            <w:pPr>
              <w:widowControl/>
              <w:spacing w:before="100" w:beforeAutospacing="1" w:after="100" w:afterAutospacing="1" w:line="502" w:lineRule="atLeast"/>
              <w:jc w:val="left"/>
              <w:rPr>
                <w:rFonts w:ascii="仿宋" w:eastAsia="仿宋" w:hAnsi="仿宋" w:cs="Tahoma" w:hint="eastAsia"/>
                <w:color w:val="000000"/>
                <w:kern w:val="0"/>
                <w:sz w:val="20"/>
                <w:szCs w:val="20"/>
              </w:rPr>
            </w:pPr>
            <w:r w:rsidRPr="00490532">
              <w:rPr>
                <w:rFonts w:ascii="宋体" w:eastAsia="宋体" w:hAnsi="宋体" w:cs="宋体" w:hint="eastAsia"/>
                <w:color w:val="000000"/>
                <w:kern w:val="0"/>
                <w:sz w:val="20"/>
                <w:szCs w:val="20"/>
              </w:rPr>
              <w:t> </w:t>
            </w:r>
          </w:p>
          <w:tbl>
            <w:tblPr>
              <w:tblW w:w="0" w:type="auto"/>
              <w:tblCellMar>
                <w:top w:w="15" w:type="dxa"/>
                <w:left w:w="15" w:type="dxa"/>
                <w:bottom w:w="15" w:type="dxa"/>
                <w:right w:w="15" w:type="dxa"/>
              </w:tblCellMar>
              <w:tblLook w:val="04A0"/>
            </w:tblPr>
            <w:tblGrid>
              <w:gridCol w:w="5942"/>
              <w:gridCol w:w="466"/>
            </w:tblGrid>
            <w:tr w:rsidR="00490532" w:rsidRPr="00490532" w:rsidTr="00490532">
              <w:tc>
                <w:tcPr>
                  <w:tcW w:w="0" w:type="auto"/>
                  <w:gridSpan w:val="2"/>
                  <w:tcBorders>
                    <w:top w:val="nil"/>
                    <w:left w:val="nil"/>
                    <w:bottom w:val="nil"/>
                    <w:right w:val="nil"/>
                  </w:tcBorders>
                  <w:shd w:val="clear" w:color="auto" w:fill="auto"/>
                  <w:tcMar>
                    <w:top w:w="15" w:type="dxa"/>
                    <w:left w:w="33" w:type="dxa"/>
                    <w:bottom w:w="15" w:type="dxa"/>
                    <w:right w:w="33" w:type="dxa"/>
                  </w:tcMar>
                  <w:vAlign w:val="center"/>
                  <w:hideMark/>
                </w:tcPr>
                <w:p w:rsidR="00490532" w:rsidRPr="00490532" w:rsidRDefault="00490532" w:rsidP="00490532">
                  <w:pPr>
                    <w:widowControl/>
                    <w:spacing w:before="45"/>
                    <w:jc w:val="left"/>
                    <w:rPr>
                      <w:rFonts w:ascii="宋体" w:eastAsia="宋体" w:hAnsi="宋体" w:cs="Tahoma"/>
                      <w:b/>
                      <w:bCs/>
                      <w:kern w:val="0"/>
                      <w:sz w:val="18"/>
                      <w:szCs w:val="18"/>
                    </w:rPr>
                  </w:pPr>
                  <w:r w:rsidRPr="00490532">
                    <w:rPr>
                      <w:rFonts w:ascii="宋体" w:eastAsia="宋体" w:hAnsi="宋体" w:cs="Tahoma" w:hint="eastAsia"/>
                      <w:b/>
                      <w:bCs/>
                      <w:kern w:val="0"/>
                      <w:sz w:val="18"/>
                      <w:szCs w:val="18"/>
                    </w:rPr>
                    <w:lastRenderedPageBreak/>
                    <w:t>附件:</w:t>
                  </w:r>
                </w:p>
              </w:tc>
            </w:tr>
            <w:tr w:rsidR="00490532" w:rsidRPr="00490532" w:rsidTr="00490532">
              <w:tc>
                <w:tcPr>
                  <w:tcW w:w="0" w:type="auto"/>
                  <w:shd w:val="clear" w:color="auto" w:fill="auto"/>
                  <w:tcMar>
                    <w:top w:w="15" w:type="dxa"/>
                    <w:left w:w="33" w:type="dxa"/>
                    <w:bottom w:w="15" w:type="dxa"/>
                    <w:right w:w="33" w:type="dxa"/>
                  </w:tcMar>
                  <w:hideMark/>
                </w:tcPr>
                <w:p w:rsidR="00490532" w:rsidRPr="00490532" w:rsidRDefault="00490532" w:rsidP="00490532">
                  <w:pPr>
                    <w:widowControl/>
                    <w:jc w:val="left"/>
                    <w:rPr>
                      <w:rFonts w:ascii="宋体" w:eastAsia="宋体" w:hAnsi="宋体" w:cs="Tahoma"/>
                      <w:kern w:val="0"/>
                      <w:sz w:val="16"/>
                      <w:szCs w:val="16"/>
                    </w:rPr>
                  </w:pPr>
                  <w:r>
                    <w:rPr>
                      <w:rFonts w:ascii="宋体" w:eastAsia="宋体" w:hAnsi="宋体" w:cs="Tahoma"/>
                      <w:noProof/>
                      <w:color w:val="3D3D3D"/>
                      <w:kern w:val="0"/>
                      <w:sz w:val="16"/>
                      <w:szCs w:val="16"/>
                    </w:rPr>
                    <w:drawing>
                      <wp:inline distT="0" distB="0" distL="0" distR="0">
                        <wp:extent cx="156210" cy="156210"/>
                        <wp:effectExtent l="19050" t="0" r="0" b="0"/>
                        <wp:docPr id="3" name="图片 3" descr="下载此文件 (毕业文件相关表格（仅供参考，请在研究生综合管理系统内填写相关表格）.rar)">
                          <a:hlinkClick xmlns:a="http://schemas.openxmlformats.org/drawingml/2006/main" r:id="rId11" tgtFrame="_blank" tooltip="&quot;下载此文件 (毕业文件相关表格（仅供参考，请在研究生综合管理系统内填写相关表格）.r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下载此文件 (毕业文件相关表格（仅供参考，请在研究生综合管理系统内填写相关表格）.rar)">
                                  <a:hlinkClick r:id="rId11" tgtFrame="_blank" tooltip="&quot;下载此文件 (毕业文件相关表格（仅供参考，请在研究生综合管理系统内填写相关表格）.rar)&quot;"/>
                                </pic:cNvPr>
                                <pic:cNvPicPr>
                                  <a:picLocks noChangeAspect="1" noChangeArrowheads="1"/>
                                </pic:cNvPicPr>
                              </pic:nvPicPr>
                              <pic:blipFill>
                                <a:blip r:embed="rId12" cstate="print"/>
                                <a:srcRect/>
                                <a:stretch>
                                  <a:fillRect/>
                                </a:stretch>
                              </pic:blipFill>
                              <pic:spPr bwMode="auto">
                                <a:xfrm>
                                  <a:off x="0" y="0"/>
                                  <a:ext cx="156210" cy="156210"/>
                                </a:xfrm>
                                <a:prstGeom prst="rect">
                                  <a:avLst/>
                                </a:prstGeom>
                                <a:noFill/>
                                <a:ln w="9525">
                                  <a:noFill/>
                                  <a:miter lim="800000"/>
                                  <a:headEnd/>
                                  <a:tailEnd/>
                                </a:ln>
                              </pic:spPr>
                            </pic:pic>
                          </a:graphicData>
                        </a:graphic>
                      </wp:inline>
                    </w:drawing>
                  </w:r>
                  <w:hyperlink r:id="rId13" w:tgtFrame="_blank" w:tooltip="下载此文件 (毕业文件相关表格（仅供参考，请在研究生综合管理系统内填写相关表格）.rar)" w:history="1">
                    <w:r w:rsidRPr="00490532">
                      <w:rPr>
                        <w:rFonts w:ascii="宋体" w:eastAsia="宋体" w:hAnsi="宋体" w:cs="Tahoma" w:hint="eastAsia"/>
                        <w:color w:val="3D3D3D"/>
                        <w:kern w:val="0"/>
                        <w:sz w:val="16"/>
                        <w:szCs w:val="16"/>
                      </w:rPr>
                      <w:t>毕业文件相关表格（仅供参考，请在研究生综合管理系统内填写相关表格）.rar</w:t>
                    </w:r>
                  </w:hyperlink>
                </w:p>
              </w:tc>
              <w:tc>
                <w:tcPr>
                  <w:tcW w:w="0" w:type="auto"/>
                  <w:shd w:val="clear" w:color="auto" w:fill="auto"/>
                  <w:tcMar>
                    <w:top w:w="15" w:type="dxa"/>
                    <w:left w:w="33" w:type="dxa"/>
                    <w:bottom w:w="15" w:type="dxa"/>
                    <w:right w:w="33" w:type="dxa"/>
                  </w:tcMar>
                  <w:hideMark/>
                </w:tcPr>
                <w:p w:rsidR="00490532" w:rsidRPr="00490532" w:rsidRDefault="00490532" w:rsidP="00490532">
                  <w:pPr>
                    <w:widowControl/>
                    <w:jc w:val="right"/>
                    <w:rPr>
                      <w:rFonts w:ascii="宋体" w:eastAsia="宋体" w:hAnsi="宋体" w:cs="Tahoma"/>
                      <w:kern w:val="0"/>
                      <w:sz w:val="16"/>
                      <w:szCs w:val="16"/>
                    </w:rPr>
                  </w:pPr>
                  <w:r w:rsidRPr="00490532">
                    <w:rPr>
                      <w:rFonts w:ascii="宋体" w:eastAsia="宋体" w:hAnsi="宋体" w:cs="Tahoma" w:hint="eastAsia"/>
                      <w:kern w:val="0"/>
                      <w:sz w:val="16"/>
                      <w:szCs w:val="16"/>
                    </w:rPr>
                    <w:t>66 Kb</w:t>
                  </w:r>
                </w:p>
              </w:tc>
            </w:tr>
          </w:tbl>
          <w:p w:rsidR="00490532" w:rsidRPr="00490532" w:rsidRDefault="00490532" w:rsidP="00490532">
            <w:pPr>
              <w:widowControl/>
              <w:spacing w:line="502" w:lineRule="atLeast"/>
              <w:jc w:val="left"/>
              <w:rPr>
                <w:rFonts w:ascii="仿宋" w:eastAsia="仿宋" w:hAnsi="仿宋" w:cs="Tahoma"/>
                <w:color w:val="000000"/>
                <w:kern w:val="0"/>
                <w:sz w:val="20"/>
                <w:szCs w:val="20"/>
              </w:rPr>
            </w:pPr>
          </w:p>
        </w:tc>
      </w:tr>
    </w:tbl>
    <w:p w:rsidR="00490532" w:rsidRPr="00490532" w:rsidRDefault="00490532" w:rsidP="00490532">
      <w:pPr>
        <w:widowControl/>
        <w:jc w:val="left"/>
        <w:rPr>
          <w:rFonts w:ascii="Tahoma" w:eastAsia="宋体" w:hAnsi="Tahoma" w:cs="Tahoma"/>
          <w:kern w:val="0"/>
          <w:sz w:val="13"/>
          <w:szCs w:val="13"/>
        </w:rPr>
      </w:pPr>
      <w:r w:rsidRPr="00490532">
        <w:rPr>
          <w:rFonts w:ascii="Tahoma" w:eastAsia="宋体" w:hAnsi="Tahoma" w:cs="Tahoma"/>
          <w:kern w:val="0"/>
          <w:sz w:val="13"/>
        </w:rPr>
        <w:lastRenderedPageBreak/>
        <w:t> </w:t>
      </w:r>
      <w:r w:rsidRPr="00490532">
        <w:rPr>
          <w:rFonts w:ascii="Tahoma" w:eastAsia="宋体" w:hAnsi="Tahoma" w:cs="Tahoma"/>
          <w:kern w:val="0"/>
          <w:sz w:val="13"/>
          <w:szCs w:val="13"/>
        </w:rPr>
        <w:t xml:space="preserve"> </w:t>
      </w:r>
    </w:p>
    <w:p w:rsidR="00490532" w:rsidRPr="00490532" w:rsidRDefault="00490532" w:rsidP="00490532">
      <w:pPr>
        <w:widowControl/>
        <w:jc w:val="left"/>
        <w:rPr>
          <w:rFonts w:ascii="Tahoma" w:eastAsia="宋体" w:hAnsi="Tahoma" w:cs="Tahoma"/>
          <w:color w:val="DCDCDC"/>
          <w:kern w:val="0"/>
          <w:sz w:val="13"/>
          <w:szCs w:val="13"/>
        </w:rPr>
      </w:pPr>
      <w:r w:rsidRPr="00490532">
        <w:rPr>
          <w:rFonts w:ascii="Tahoma" w:eastAsia="宋体" w:hAnsi="Tahoma" w:cs="Tahoma"/>
          <w:color w:val="DCDCDC"/>
          <w:kern w:val="0"/>
          <w:sz w:val="13"/>
          <w:szCs w:val="13"/>
        </w:rPr>
        <w:t>©</w:t>
      </w:r>
      <w:r w:rsidRPr="00490532">
        <w:rPr>
          <w:rFonts w:ascii="Tahoma" w:eastAsia="宋体" w:hAnsi="Tahoma" w:cs="Tahoma"/>
          <w:color w:val="DCDCDC"/>
          <w:kern w:val="0"/>
          <w:sz w:val="13"/>
          <w:szCs w:val="13"/>
        </w:rPr>
        <w:t>中国政法大学研究生院</w:t>
      </w:r>
      <w:r w:rsidRPr="00490532">
        <w:rPr>
          <w:rFonts w:ascii="Tahoma" w:eastAsia="宋体" w:hAnsi="Tahoma" w:cs="Tahoma"/>
          <w:color w:val="DCDCDC"/>
          <w:kern w:val="0"/>
          <w:sz w:val="13"/>
          <w:szCs w:val="13"/>
        </w:rPr>
        <w:t xml:space="preserve"> , </w:t>
      </w:r>
      <w:r w:rsidRPr="00490532">
        <w:rPr>
          <w:rFonts w:ascii="Tahoma" w:eastAsia="宋体" w:hAnsi="Tahoma" w:cs="Tahoma"/>
          <w:color w:val="DCDCDC"/>
          <w:kern w:val="0"/>
          <w:sz w:val="13"/>
          <w:szCs w:val="13"/>
        </w:rPr>
        <w:t>北京市海淀区西土城路</w:t>
      </w:r>
      <w:r w:rsidRPr="00490532">
        <w:rPr>
          <w:rFonts w:ascii="Tahoma" w:eastAsia="宋体" w:hAnsi="Tahoma" w:cs="Tahoma"/>
          <w:color w:val="DCDCDC"/>
          <w:kern w:val="0"/>
          <w:sz w:val="13"/>
          <w:szCs w:val="13"/>
        </w:rPr>
        <w:t>25</w:t>
      </w:r>
      <w:r w:rsidRPr="00490532">
        <w:rPr>
          <w:rFonts w:ascii="Tahoma" w:eastAsia="宋体" w:hAnsi="Tahoma" w:cs="Tahoma"/>
          <w:color w:val="DCDCDC"/>
          <w:kern w:val="0"/>
          <w:sz w:val="13"/>
          <w:szCs w:val="13"/>
        </w:rPr>
        <w:t>号中国政法大学研究生院</w:t>
      </w:r>
      <w:r w:rsidRPr="00490532">
        <w:rPr>
          <w:rFonts w:ascii="Tahoma" w:eastAsia="宋体" w:hAnsi="Tahoma" w:cs="Tahoma"/>
          <w:color w:val="DCDCDC"/>
          <w:kern w:val="0"/>
          <w:sz w:val="13"/>
          <w:szCs w:val="13"/>
        </w:rPr>
        <w:br/>
      </w:r>
      <w:r w:rsidRPr="00490532">
        <w:rPr>
          <w:rFonts w:ascii="Tahoma" w:eastAsia="宋体" w:hAnsi="Tahoma" w:cs="Tahoma"/>
          <w:color w:val="DCDCDC"/>
          <w:kern w:val="0"/>
          <w:sz w:val="13"/>
          <w:szCs w:val="13"/>
        </w:rPr>
        <w:t>邮编：</w:t>
      </w:r>
      <w:r w:rsidRPr="00490532">
        <w:rPr>
          <w:rFonts w:ascii="Tahoma" w:eastAsia="宋体" w:hAnsi="Tahoma" w:cs="Tahoma"/>
          <w:color w:val="DCDCDC"/>
          <w:kern w:val="0"/>
          <w:sz w:val="13"/>
          <w:szCs w:val="13"/>
        </w:rPr>
        <w:t xml:space="preserve">100088 , </w:t>
      </w:r>
      <w:r w:rsidRPr="00490532">
        <w:rPr>
          <w:rFonts w:ascii="Tahoma" w:eastAsia="宋体" w:hAnsi="Tahoma" w:cs="Tahoma"/>
          <w:color w:val="DCDCDC"/>
          <w:kern w:val="0"/>
          <w:sz w:val="13"/>
          <w:szCs w:val="13"/>
        </w:rPr>
        <w:pict/>
      </w:r>
      <w:r w:rsidRPr="00490532">
        <w:rPr>
          <w:rFonts w:ascii="Tahoma" w:eastAsia="宋体" w:hAnsi="Tahoma" w:cs="Tahoma"/>
          <w:color w:val="DCDCDC"/>
          <w:kern w:val="0"/>
          <w:sz w:val="13"/>
          <w:szCs w:val="13"/>
        </w:rPr>
        <w:pict/>
      </w:r>
      <w:hyperlink r:id="rId14" w:tgtFrame="_blank" w:history="1">
        <w:r w:rsidRPr="00490532">
          <w:rPr>
            <w:rFonts w:ascii="Tahoma" w:eastAsia="宋体" w:hAnsi="Tahoma" w:cs="Tahoma"/>
            <w:color w:val="DCDCDC"/>
            <w:kern w:val="0"/>
            <w:sz w:val="13"/>
            <w:szCs w:val="13"/>
          </w:rPr>
          <w:t>百度统计</w:t>
        </w:r>
      </w:hyperlink>
      <w:r w:rsidRPr="00490532">
        <w:rPr>
          <w:rFonts w:ascii="Tahoma" w:eastAsia="宋体" w:hAnsi="Tahoma" w:cs="Tahoma"/>
          <w:color w:val="DCDCDC"/>
          <w:kern w:val="0"/>
          <w:sz w:val="13"/>
          <w:szCs w:val="13"/>
        </w:rPr>
        <w:t xml:space="preserve"> </w:t>
      </w:r>
    </w:p>
    <w:p w:rsidR="00490532" w:rsidRPr="00490532" w:rsidRDefault="00490532" w:rsidP="00490532">
      <w:pPr>
        <w:widowControl/>
        <w:jc w:val="right"/>
        <w:rPr>
          <w:rFonts w:ascii="Tahoma" w:eastAsia="宋体" w:hAnsi="Tahoma" w:cs="Tahoma"/>
          <w:color w:val="DCDCDC"/>
          <w:kern w:val="0"/>
          <w:sz w:val="13"/>
          <w:szCs w:val="13"/>
        </w:rPr>
      </w:pPr>
      <w:r w:rsidRPr="00490532">
        <w:rPr>
          <w:rFonts w:ascii="Tahoma" w:eastAsia="宋体" w:hAnsi="Tahoma" w:cs="Tahoma"/>
          <w:color w:val="DCDCDC"/>
          <w:kern w:val="0"/>
          <w:sz w:val="13"/>
          <w:szCs w:val="13"/>
        </w:rPr>
        <w:t>网站设计</w:t>
      </w:r>
      <w:r w:rsidRPr="00490532">
        <w:rPr>
          <w:rFonts w:ascii="Tahoma" w:eastAsia="宋体" w:hAnsi="Tahoma" w:cs="Tahoma"/>
          <w:color w:val="DCDCDC"/>
          <w:kern w:val="0"/>
          <w:sz w:val="13"/>
          <w:szCs w:val="13"/>
        </w:rPr>
        <w:t xml:space="preserve"> &amp; </w:t>
      </w:r>
      <w:r w:rsidRPr="00490532">
        <w:rPr>
          <w:rFonts w:ascii="Tahoma" w:eastAsia="宋体" w:hAnsi="Tahoma" w:cs="Tahoma"/>
          <w:color w:val="DCDCDC"/>
          <w:kern w:val="0"/>
          <w:sz w:val="13"/>
          <w:szCs w:val="13"/>
        </w:rPr>
        <w:t>技术支持</w:t>
      </w:r>
      <w:r w:rsidRPr="00490532">
        <w:rPr>
          <w:rFonts w:ascii="Tahoma" w:eastAsia="宋体" w:hAnsi="Tahoma" w:cs="Tahoma"/>
          <w:color w:val="DCDCDC"/>
          <w:kern w:val="0"/>
          <w:sz w:val="13"/>
          <w:szCs w:val="13"/>
        </w:rPr>
        <w:t xml:space="preserve">: </w:t>
      </w:r>
      <w:hyperlink r:id="rId15" w:tgtFrame="_blank" w:history="1">
        <w:r w:rsidRPr="00490532">
          <w:rPr>
            <w:rFonts w:ascii="Tahoma" w:eastAsia="宋体" w:hAnsi="Tahoma" w:cs="Tahoma"/>
            <w:color w:val="DCDCDC"/>
            <w:kern w:val="0"/>
            <w:sz w:val="13"/>
            <w:szCs w:val="13"/>
          </w:rPr>
          <w:t>中国政法大学法律信息中心</w:t>
        </w:r>
      </w:hyperlink>
      <w:r w:rsidRPr="00490532">
        <w:rPr>
          <w:rFonts w:ascii="Tahoma" w:eastAsia="宋体" w:hAnsi="Tahoma" w:cs="Tahoma"/>
          <w:color w:val="DCDCDC"/>
          <w:kern w:val="0"/>
          <w:sz w:val="13"/>
          <w:szCs w:val="13"/>
        </w:rPr>
        <w:t xml:space="preserve"> </w:t>
      </w:r>
      <w:r w:rsidRPr="00490532">
        <w:rPr>
          <w:rFonts w:ascii="Tahoma" w:eastAsia="宋体" w:hAnsi="Tahoma" w:cs="Tahoma"/>
          <w:color w:val="DCDCDC"/>
          <w:kern w:val="0"/>
          <w:sz w:val="13"/>
          <w:szCs w:val="13"/>
        </w:rPr>
        <w:br/>
        <w:t xml:space="preserve">© </w:t>
      </w:r>
      <w:r w:rsidRPr="00490532">
        <w:rPr>
          <w:rFonts w:ascii="Tahoma" w:eastAsia="宋体" w:hAnsi="Tahoma" w:cs="Tahoma"/>
          <w:color w:val="DCDCDC"/>
          <w:kern w:val="0"/>
          <w:sz w:val="13"/>
          <w:szCs w:val="13"/>
        </w:rPr>
        <w:t>法信</w:t>
      </w:r>
      <w:r w:rsidRPr="00490532">
        <w:rPr>
          <w:rFonts w:ascii="Tahoma" w:eastAsia="宋体" w:hAnsi="Tahoma" w:cs="Tahoma"/>
          <w:color w:val="DCDCDC"/>
          <w:kern w:val="0"/>
          <w:sz w:val="13"/>
          <w:szCs w:val="13"/>
        </w:rPr>
        <w:t>"</w:t>
      </w:r>
      <w:hyperlink r:id="rId16" w:tgtFrame="_blank" w:history="1">
        <w:r w:rsidRPr="00490532">
          <w:rPr>
            <w:rFonts w:ascii="Tahoma" w:eastAsia="宋体" w:hAnsi="Tahoma" w:cs="Tahoma"/>
            <w:color w:val="DCDCDC"/>
            <w:kern w:val="0"/>
            <w:sz w:val="13"/>
            <w:szCs w:val="13"/>
          </w:rPr>
          <w:t>宇云</w:t>
        </w:r>
      </w:hyperlink>
      <w:r w:rsidRPr="00490532">
        <w:rPr>
          <w:rFonts w:ascii="Tahoma" w:eastAsia="宋体" w:hAnsi="Tahoma" w:cs="Tahoma"/>
          <w:color w:val="DCDCDC"/>
          <w:kern w:val="0"/>
          <w:sz w:val="13"/>
          <w:szCs w:val="13"/>
        </w:rPr>
        <w:t>"</w:t>
      </w:r>
      <w:r w:rsidRPr="00490532">
        <w:rPr>
          <w:rFonts w:ascii="Tahoma" w:eastAsia="宋体" w:hAnsi="Tahoma" w:cs="Tahoma"/>
          <w:color w:val="DCDCDC"/>
          <w:kern w:val="0"/>
          <w:sz w:val="13"/>
          <w:szCs w:val="13"/>
        </w:rPr>
        <w:t>平台</w:t>
      </w:r>
      <w:r w:rsidRPr="00490532">
        <w:rPr>
          <w:rFonts w:ascii="Tahoma" w:eastAsia="宋体" w:hAnsi="Tahoma" w:cs="Tahoma"/>
          <w:color w:val="DCDCDC"/>
          <w:kern w:val="0"/>
          <w:sz w:val="13"/>
          <w:szCs w:val="13"/>
        </w:rPr>
        <w:t xml:space="preserve"> , Cloudy-Caching App </w:t>
      </w:r>
    </w:p>
    <w:p w:rsidR="00B92BF7" w:rsidRDefault="00B92BF7"/>
    <w:sectPr w:rsidR="00B92BF7" w:rsidSect="00B92BF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90532"/>
    <w:rsid w:val="00490532"/>
    <w:rsid w:val="00B92B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B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90532"/>
    <w:rPr>
      <w:strike w:val="0"/>
      <w:dstrike w:val="0"/>
      <w:color w:val="3D3D3D"/>
      <w:u w:val="none"/>
      <w:effect w:val="none"/>
    </w:rPr>
  </w:style>
  <w:style w:type="paragraph" w:styleId="a4">
    <w:name w:val="Normal (Web)"/>
    <w:basedOn w:val="a"/>
    <w:uiPriority w:val="99"/>
    <w:semiHidden/>
    <w:unhideWhenUsed/>
    <w:rsid w:val="00490532"/>
    <w:pPr>
      <w:widowControl/>
      <w:spacing w:before="100" w:beforeAutospacing="1" w:after="100" w:afterAutospacing="1"/>
      <w:jc w:val="left"/>
    </w:pPr>
    <w:rPr>
      <w:rFonts w:ascii="宋体" w:eastAsia="宋体" w:hAnsi="宋体" w:cs="宋体"/>
      <w:kern w:val="0"/>
      <w:sz w:val="24"/>
      <w:szCs w:val="24"/>
    </w:rPr>
  </w:style>
  <w:style w:type="paragraph" w:customStyle="1" w:styleId="p">
    <w:name w:val="p"/>
    <w:basedOn w:val="a"/>
    <w:rsid w:val="00490532"/>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490532"/>
    <w:rPr>
      <w:b/>
      <w:bCs/>
    </w:rPr>
  </w:style>
  <w:style w:type="character" w:customStyle="1" w:styleId="articleseparator">
    <w:name w:val="article_separator"/>
    <w:basedOn w:val="a0"/>
    <w:rsid w:val="00490532"/>
  </w:style>
  <w:style w:type="paragraph" w:styleId="a6">
    <w:name w:val="Balloon Text"/>
    <w:basedOn w:val="a"/>
    <w:link w:val="Char"/>
    <w:uiPriority w:val="99"/>
    <w:semiHidden/>
    <w:unhideWhenUsed/>
    <w:rsid w:val="00490532"/>
    <w:rPr>
      <w:sz w:val="18"/>
      <w:szCs w:val="18"/>
    </w:rPr>
  </w:style>
  <w:style w:type="character" w:customStyle="1" w:styleId="Char">
    <w:name w:val="批注框文本 Char"/>
    <w:basedOn w:val="a0"/>
    <w:link w:val="a6"/>
    <w:uiPriority w:val="99"/>
    <w:semiHidden/>
    <w:rsid w:val="00490532"/>
    <w:rPr>
      <w:sz w:val="18"/>
      <w:szCs w:val="18"/>
    </w:rPr>
  </w:style>
</w:styles>
</file>

<file path=word/webSettings.xml><?xml version="1.0" encoding="utf-8"?>
<w:webSettings xmlns:r="http://schemas.openxmlformats.org/officeDocument/2006/relationships" xmlns:w="http://schemas.openxmlformats.org/wordprocessingml/2006/main">
  <w:divs>
    <w:div w:id="754474906">
      <w:bodyDiv w:val="1"/>
      <w:marLeft w:val="0"/>
      <w:marRight w:val="0"/>
      <w:marTop w:val="0"/>
      <w:marBottom w:val="0"/>
      <w:divBdr>
        <w:top w:val="none" w:sz="0" w:space="0" w:color="auto"/>
        <w:left w:val="none" w:sz="0" w:space="0" w:color="auto"/>
        <w:bottom w:val="none" w:sz="0" w:space="0" w:color="auto"/>
        <w:right w:val="none" w:sz="0" w:space="0" w:color="auto"/>
      </w:divBdr>
      <w:divsChild>
        <w:div w:id="913583492">
          <w:marLeft w:val="0"/>
          <w:marRight w:val="0"/>
          <w:marTop w:val="0"/>
          <w:marBottom w:val="0"/>
          <w:divBdr>
            <w:top w:val="none" w:sz="0" w:space="0" w:color="auto"/>
            <w:left w:val="none" w:sz="0" w:space="0" w:color="auto"/>
            <w:bottom w:val="none" w:sz="0" w:space="0" w:color="auto"/>
            <w:right w:val="none" w:sz="0" w:space="0" w:color="auto"/>
          </w:divBdr>
          <w:divsChild>
            <w:div w:id="54208763">
              <w:marLeft w:val="0"/>
              <w:marRight w:val="0"/>
              <w:marTop w:val="0"/>
              <w:marBottom w:val="0"/>
              <w:divBdr>
                <w:top w:val="none" w:sz="0" w:space="0" w:color="auto"/>
                <w:left w:val="none" w:sz="0" w:space="0" w:color="auto"/>
                <w:bottom w:val="none" w:sz="0" w:space="0" w:color="auto"/>
                <w:right w:val="none" w:sz="0" w:space="0" w:color="auto"/>
              </w:divBdr>
              <w:divsChild>
                <w:div w:id="1121609545">
                  <w:marLeft w:val="0"/>
                  <w:marRight w:val="0"/>
                  <w:marTop w:val="0"/>
                  <w:marBottom w:val="0"/>
                  <w:divBdr>
                    <w:top w:val="none" w:sz="0" w:space="0" w:color="auto"/>
                    <w:left w:val="none" w:sz="0" w:space="0" w:color="auto"/>
                    <w:bottom w:val="none" w:sz="0" w:space="0" w:color="auto"/>
                    <w:right w:val="none" w:sz="0" w:space="0" w:color="auto"/>
                  </w:divBdr>
                  <w:divsChild>
                    <w:div w:id="583343408">
                      <w:marLeft w:val="0"/>
                      <w:marRight w:val="0"/>
                      <w:marTop w:val="0"/>
                      <w:marBottom w:val="0"/>
                      <w:divBdr>
                        <w:top w:val="none" w:sz="0" w:space="0" w:color="auto"/>
                        <w:left w:val="none" w:sz="0" w:space="0" w:color="auto"/>
                        <w:bottom w:val="none" w:sz="0" w:space="0" w:color="auto"/>
                        <w:right w:val="none" w:sz="0" w:space="0" w:color="auto"/>
                      </w:divBdr>
                      <w:divsChild>
                        <w:div w:id="1455908568">
                          <w:marLeft w:val="0"/>
                          <w:marRight w:val="0"/>
                          <w:marTop w:val="0"/>
                          <w:marBottom w:val="0"/>
                          <w:divBdr>
                            <w:top w:val="none" w:sz="0" w:space="0" w:color="auto"/>
                            <w:left w:val="none" w:sz="0" w:space="0" w:color="auto"/>
                            <w:bottom w:val="none" w:sz="0" w:space="0" w:color="auto"/>
                            <w:right w:val="none" w:sz="0" w:space="0" w:color="auto"/>
                          </w:divBdr>
                          <w:divsChild>
                            <w:div w:id="1381787177">
                              <w:marLeft w:val="0"/>
                              <w:marRight w:val="0"/>
                              <w:marTop w:val="0"/>
                              <w:marBottom w:val="120"/>
                              <w:divBdr>
                                <w:top w:val="none" w:sz="0" w:space="0" w:color="auto"/>
                                <w:left w:val="none" w:sz="0" w:space="0" w:color="auto"/>
                                <w:bottom w:val="none" w:sz="0" w:space="0" w:color="auto"/>
                                <w:right w:val="none" w:sz="0" w:space="0" w:color="auto"/>
                              </w:divBdr>
                              <w:divsChild>
                                <w:div w:id="206440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023750">
          <w:marLeft w:val="0"/>
          <w:marRight w:val="0"/>
          <w:marTop w:val="0"/>
          <w:marBottom w:val="0"/>
          <w:divBdr>
            <w:top w:val="none" w:sz="0" w:space="0" w:color="auto"/>
            <w:left w:val="none" w:sz="0" w:space="0" w:color="auto"/>
            <w:bottom w:val="none" w:sz="0" w:space="0" w:color="auto"/>
            <w:right w:val="none" w:sz="0" w:space="0" w:color="auto"/>
          </w:divBdr>
          <w:divsChild>
            <w:div w:id="217934745">
              <w:marLeft w:val="0"/>
              <w:marRight w:val="0"/>
              <w:marTop w:val="0"/>
              <w:marBottom w:val="0"/>
              <w:divBdr>
                <w:top w:val="none" w:sz="0" w:space="0" w:color="auto"/>
                <w:left w:val="none" w:sz="0" w:space="0" w:color="auto"/>
                <w:bottom w:val="none" w:sz="0" w:space="0" w:color="auto"/>
                <w:right w:val="none" w:sz="0" w:space="0" w:color="auto"/>
              </w:divBdr>
              <w:divsChild>
                <w:div w:id="669798549">
                  <w:marLeft w:val="0"/>
                  <w:marRight w:val="0"/>
                  <w:marTop w:val="0"/>
                  <w:marBottom w:val="0"/>
                  <w:divBdr>
                    <w:top w:val="none" w:sz="0" w:space="0" w:color="auto"/>
                    <w:left w:val="none" w:sz="0" w:space="0" w:color="auto"/>
                    <w:bottom w:val="none" w:sz="0" w:space="0" w:color="auto"/>
                    <w:right w:val="none" w:sz="0" w:space="0" w:color="auto"/>
                  </w:divBdr>
                  <w:divsChild>
                    <w:div w:id="10198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yjsyold.cupl.edu.cn/degree-management/c72/1452/" TargetMode="External"/><Relationship Id="rId13" Type="http://schemas.openxmlformats.org/officeDocument/2006/relationships/hyperlink" Target="http://yjsyold.cupl.edu.cn/attachments/article/3039/&#27605;&#19994;&#25991;&#20214;&#30456;&#20851;&#34920;&#26684;&#65288;&#20165;&#20379;&#21442;&#32771;&#65292;&#35831;&#22312;&#30740;&#31350;&#29983;&#32508;&#21512;&#31649;&#29702;&#31995;&#32479;&#20869;&#22635;&#20889;&#30456;&#20851;&#34920;&#26684;&#65289;.rar"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3.gi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cnl.edu.cn/cloud-computing/" TargetMode="External"/><Relationship Id="rId1" Type="http://schemas.openxmlformats.org/officeDocument/2006/relationships/styles" Target="styles.xml"/><Relationship Id="rId6" Type="http://schemas.openxmlformats.org/officeDocument/2006/relationships/hyperlink" Target="http://yjsyold.cupl.edu.cn/index.php?option=com_mailto&amp;tmpl=component&amp;link=77033f9f6698aa5112d720eb9bcc01f0f8c93b18" TargetMode="External"/><Relationship Id="rId11" Type="http://schemas.openxmlformats.org/officeDocument/2006/relationships/hyperlink" Target="http://yjsyold.cupl.edu.cn/attachments/article/3039/&#27605;&#19994;&#25991;&#20214;&#30456;&#20851;&#34920;&#26684;&#65288;&#20165;&#20379;&#21442;&#32771;&#65292;&#35831;&#22312;&#30740;&#31350;&#29983;&#32508;&#21512;&#31649;&#29702;&#31995;&#32479;&#20869;&#22635;&#20889;&#30456;&#20851;&#34920;&#26684;&#65289;.rar" TargetMode="External"/><Relationship Id="rId5" Type="http://schemas.openxmlformats.org/officeDocument/2006/relationships/image" Target="media/image1.png"/><Relationship Id="rId15" Type="http://schemas.openxmlformats.org/officeDocument/2006/relationships/hyperlink" Target="http://www.cnl.edu.cn" TargetMode="External"/><Relationship Id="rId10" Type="http://schemas.openxmlformats.org/officeDocument/2006/relationships/hyperlink" Target="http://yjsyold.cupl.edu.cn/degree-management/c72/1194/" TargetMode="External"/><Relationship Id="rId4" Type="http://schemas.openxmlformats.org/officeDocument/2006/relationships/hyperlink" Target="http://yjsyold.cupl.edu.cn/index.php?view=article&amp;catid=61%3Ac61&amp;id=3039%3A17-07-13-19-16-38&amp;tmpl=component&amp;print=1&amp;layout=default&amp;page=&amp;option=com_content&amp;Itemid=121" TargetMode="External"/><Relationship Id="rId9" Type="http://schemas.openxmlformats.org/officeDocument/2006/relationships/hyperlink" Target="http://yjsyold.cupl.edu.cn/graduate-education/c41/2613/" TargetMode="External"/><Relationship Id="rId14" Type="http://schemas.openxmlformats.org/officeDocument/2006/relationships/hyperlink" Target="http://tongji.baidu.com/hm-web/welcome/ico?s=0cdd3e871deceff3c6470b26abb738e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1094</Words>
  <Characters>6240</Characters>
  <Application>Microsoft Office Word</Application>
  <DocSecurity>0</DocSecurity>
  <Lines>52</Lines>
  <Paragraphs>14</Paragraphs>
  <ScaleCrop>false</ScaleCrop>
  <Company/>
  <LinksUpToDate>false</LinksUpToDate>
  <CharactersWithSpaces>7320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hyq</dc:creator>
  <cp:lastModifiedBy>hyq</cp:lastModifiedBy>
  <cp:revision>1</cp:revision>
  <dcterms:created xsi:type="dcterms:W3CDTF">2017-09-02T02:10:00Z</dcterms:created>
  <dcterms:modified xsi:type="dcterms:W3CDTF">2017-09-02T02:13:00Z</dcterms:modified>
</cp:coreProperties>
</file>